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DF21" w14:textId="09CBD4BA" w:rsidR="005D0AE1" w:rsidRDefault="0030659C" w:rsidP="00E449E4">
      <w:pPr>
        <w:rPr>
          <w:rFonts w:ascii="Avenir Next LT Pro Demi" w:hAnsi="Avenir Next LT Pro Demi"/>
          <w:b/>
          <w:bCs/>
          <w:color w:val="435570"/>
          <w:sz w:val="72"/>
          <w:szCs w:val="72"/>
        </w:rPr>
      </w:pPr>
      <w:r w:rsidRPr="00DC1E7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5ECD6E" wp14:editId="550671BB">
            <wp:simplePos x="0" y="0"/>
            <wp:positionH relativeFrom="column">
              <wp:posOffset>-714375</wp:posOffset>
            </wp:positionH>
            <wp:positionV relativeFrom="page">
              <wp:posOffset>1057275</wp:posOffset>
            </wp:positionV>
            <wp:extent cx="1428750" cy="2009775"/>
            <wp:effectExtent l="0" t="0" r="0" b="9525"/>
            <wp:wrapThrough wrapText="bothSides">
              <wp:wrapPolygon edited="0">
                <wp:start x="288" y="0"/>
                <wp:lineTo x="0" y="3481"/>
                <wp:lineTo x="0" y="4709"/>
                <wp:lineTo x="1152" y="9827"/>
                <wp:lineTo x="1728" y="16379"/>
                <wp:lineTo x="0" y="18427"/>
                <wp:lineTo x="0" y="20064"/>
                <wp:lineTo x="5184" y="21293"/>
                <wp:lineTo x="6624" y="21498"/>
                <wp:lineTo x="13536" y="21498"/>
                <wp:lineTo x="14688" y="21293"/>
                <wp:lineTo x="17568" y="20064"/>
                <wp:lineTo x="19584" y="16379"/>
                <wp:lineTo x="20160" y="9827"/>
                <wp:lineTo x="21312" y="4709"/>
                <wp:lineTo x="21312" y="3481"/>
                <wp:lineTo x="21024" y="0"/>
                <wp:lineTo x="288" y="0"/>
              </wp:wrapPolygon>
            </wp:wrapThrough>
            <wp:docPr id="9692138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213819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4B6" w:rsidRPr="002D64B6">
        <w:rPr>
          <w:rFonts w:ascii="Avenir Next LT Pro Demi" w:hAnsi="Avenir Next LT Pro Demi"/>
          <w:b/>
          <w:bCs/>
          <w:color w:val="435570"/>
          <w:sz w:val="72"/>
          <w:szCs w:val="72"/>
        </w:rPr>
        <w:t>SUBMITTAL PACKAGE</w:t>
      </w:r>
    </w:p>
    <w:p w14:paraId="64A7B8A2" w14:textId="77777777" w:rsidR="00DC1E76" w:rsidRDefault="00DC1E76" w:rsidP="005D0AE1">
      <w:pPr>
        <w:rPr>
          <w:rFonts w:ascii="Avenir Next LT Pro Demi" w:hAnsi="Avenir Next LT Pro Demi"/>
          <w:b/>
          <w:bCs/>
          <w:color w:val="435570"/>
          <w:sz w:val="24"/>
          <w:szCs w:val="24"/>
        </w:rPr>
      </w:pPr>
    </w:p>
    <w:p w14:paraId="203E49B2" w14:textId="77777777" w:rsidR="00DC1E76" w:rsidRDefault="00DC1E76" w:rsidP="005D0AE1">
      <w:pPr>
        <w:rPr>
          <w:rFonts w:ascii="Avenir Next LT Pro Demi" w:hAnsi="Avenir Next LT Pro Demi"/>
          <w:b/>
          <w:bCs/>
          <w:color w:val="435570"/>
          <w:sz w:val="24"/>
          <w:szCs w:val="24"/>
        </w:rPr>
      </w:pPr>
    </w:p>
    <w:p w14:paraId="13282360" w14:textId="5E8E07BD" w:rsidR="00990487" w:rsidRDefault="00B522F5" w:rsidP="00785151">
      <w:pPr>
        <w:jc w:val="center"/>
        <w:rPr>
          <w:rFonts w:ascii="Avenir Next LT Pro Demi" w:hAnsi="Avenir Next LT Pro Demi"/>
          <w:b/>
          <w:bCs/>
          <w:color w:val="435570"/>
          <w:sz w:val="28"/>
          <w:szCs w:val="28"/>
        </w:rPr>
      </w:pPr>
      <w:r w:rsidRPr="00DC1E76">
        <w:rPr>
          <w:rFonts w:ascii="Avenir Next LT Pro Demi" w:hAnsi="Avenir Next LT Pro Demi"/>
          <w:b/>
          <w:bCs/>
          <w:color w:val="435570"/>
          <w:sz w:val="24"/>
          <w:szCs w:val="24"/>
        </w:rPr>
        <w:t>PLEASE COPY THE TEXT BELOW AND PASTE INTO A</w:t>
      </w:r>
      <w:r w:rsidR="002324CA" w:rsidRPr="00DC1E76">
        <w:rPr>
          <w:rFonts w:ascii="Avenir Next LT Pro Demi" w:hAnsi="Avenir Next LT Pro Demi"/>
          <w:b/>
          <w:bCs/>
          <w:color w:val="435570"/>
          <w:sz w:val="24"/>
          <w:szCs w:val="24"/>
        </w:rPr>
        <w:t xml:space="preserve"> NEW </w:t>
      </w:r>
      <w:r w:rsidRPr="00DC1E76">
        <w:rPr>
          <w:rFonts w:ascii="Avenir Next LT Pro Demi" w:hAnsi="Avenir Next LT Pro Demi"/>
          <w:b/>
          <w:bCs/>
          <w:color w:val="435570"/>
          <w:sz w:val="24"/>
          <w:szCs w:val="24"/>
        </w:rPr>
        <w:t>EMAI</w:t>
      </w:r>
      <w:r w:rsidR="005D0AE1" w:rsidRPr="00DC1E76">
        <w:rPr>
          <w:rFonts w:ascii="Avenir Next LT Pro Demi" w:hAnsi="Avenir Next LT Pro Demi"/>
          <w:b/>
          <w:bCs/>
          <w:color w:val="435570"/>
          <w:sz w:val="24"/>
          <w:szCs w:val="24"/>
        </w:rPr>
        <w:t>L</w:t>
      </w:r>
      <w:r w:rsidR="00DC1E76">
        <w:rPr>
          <w:rFonts w:ascii="Avenir Next LT Pro Demi" w:hAnsi="Avenir Next LT Pro Demi"/>
          <w:b/>
          <w:bCs/>
          <w:color w:val="435570"/>
          <w:sz w:val="28"/>
          <w:szCs w:val="28"/>
        </w:rPr>
        <w:t xml:space="preserve"> </w:t>
      </w:r>
      <w:r w:rsidR="00990487">
        <w:rPr>
          <w:rFonts w:ascii="Avenir Next LT Pro Demi" w:hAnsi="Avenir Next LT Pro Demi"/>
          <w:b/>
          <w:bCs/>
          <w:color w:val="435570"/>
          <w:sz w:val="28"/>
          <w:szCs w:val="28"/>
        </w:rPr>
        <w:t>___________________________________________________________</w:t>
      </w:r>
    </w:p>
    <w:p w14:paraId="234AB855" w14:textId="776B8C59" w:rsidR="00785151" w:rsidRDefault="00785151" w:rsidP="00785151">
      <w:pPr>
        <w:rPr>
          <w:b/>
          <w:bCs/>
          <w:color w:val="435570"/>
          <w:sz w:val="22"/>
          <w:szCs w:val="22"/>
        </w:rPr>
      </w:pPr>
    </w:p>
    <w:p w14:paraId="059390C4" w14:textId="77777777" w:rsidR="005B5E95" w:rsidRPr="003155F0" w:rsidRDefault="005B5E95" w:rsidP="005B5E95">
      <w:pPr>
        <w:pStyle w:val="NormalWeb"/>
        <w:rPr>
          <w:rFonts w:asciiTheme="minorHAnsi" w:hAnsiTheme="minorHAnsi"/>
          <w:sz w:val="22"/>
          <w:szCs w:val="22"/>
        </w:rPr>
      </w:pPr>
      <w:r w:rsidRPr="003155F0">
        <w:rPr>
          <w:rStyle w:val="Strong"/>
          <w:rFonts w:asciiTheme="minorHAnsi" w:hAnsiTheme="minorHAnsi"/>
          <w:sz w:val="22"/>
          <w:szCs w:val="22"/>
        </w:rPr>
        <w:t>SINAK LithiumCure 1000</w:t>
      </w:r>
      <w:r w:rsidRPr="003155F0">
        <w:rPr>
          <w:rFonts w:asciiTheme="minorHAnsi" w:hAnsiTheme="minorHAnsi"/>
          <w:sz w:val="22"/>
          <w:szCs w:val="22"/>
        </w:rPr>
        <w:t>, classified as Curing Agent, Water Cure Equivalent Type, Penetrating, is used to cure &amp; seal freshly placed exterior concrete. LithiumCure 1000 is third party tested to meet the performance of ASTM C171/AASHTO M182 (blanket wet curing). Compatible with all sealers, coatings, traffic markings, LithiumCure 1000 is a cost-effective alternative to all other curing methods, is NSF 61 Potable Water Certified and will reduce labor costs and accelerate the construction schedule.</w:t>
      </w:r>
    </w:p>
    <w:p w14:paraId="4A253EE6" w14:textId="16D3C6B4" w:rsidR="007D168A" w:rsidRPr="003155F0" w:rsidRDefault="005B5E95" w:rsidP="003155F0">
      <w:pPr>
        <w:pStyle w:val="NormalWeb"/>
        <w:rPr>
          <w:rFonts w:asciiTheme="minorHAnsi" w:hAnsiTheme="minorHAnsi"/>
          <w:sz w:val="22"/>
          <w:szCs w:val="22"/>
        </w:rPr>
      </w:pPr>
      <w:r w:rsidRPr="003155F0">
        <w:rPr>
          <w:rFonts w:asciiTheme="minorHAnsi" w:hAnsiTheme="minorHAnsi"/>
          <w:sz w:val="22"/>
          <w:szCs w:val="22"/>
        </w:rPr>
        <w:t>LithiumCure 1000 is class 55 non-hazardous, non-toxic, contains no solvents, and is listed as UL GREENGUARD Gold Certified, LBC Red List Free, Super Compliant with SCAQMD, and Buy American Act compliant.</w:t>
      </w:r>
    </w:p>
    <w:p w14:paraId="060C2100" w14:textId="77777777" w:rsidR="00CB7391" w:rsidRPr="00CB7391" w:rsidRDefault="00CB7391" w:rsidP="00CB7391">
      <w:pPr>
        <w:rPr>
          <w:b/>
          <w:bCs/>
          <w:sz w:val="22"/>
          <w:szCs w:val="22"/>
        </w:rPr>
      </w:pPr>
      <w:r w:rsidRPr="00CB7391">
        <w:rPr>
          <w:b/>
          <w:bCs/>
          <w:sz w:val="22"/>
          <w:szCs w:val="22"/>
        </w:rPr>
        <w:t>Supporting Documentation:</w:t>
      </w:r>
    </w:p>
    <w:p w14:paraId="7D6FDCC9" w14:textId="4A8A930D" w:rsidR="00DC7A9C" w:rsidRDefault="00000000" w:rsidP="00DC7A9C">
      <w:pPr>
        <w:spacing w:before="0" w:after="0" w:line="240" w:lineRule="auto"/>
        <w:rPr>
          <w:color w:val="0070C0"/>
          <w:sz w:val="22"/>
          <w:szCs w:val="22"/>
        </w:rPr>
      </w:pPr>
      <w:hyperlink r:id="rId7" w:tgtFrame="_blank" w:history="1">
        <w:r w:rsidR="00CB7391" w:rsidRPr="00CB7391">
          <w:rPr>
            <w:rStyle w:val="Hyperlink"/>
            <w:color w:val="0070C0"/>
            <w:sz w:val="22"/>
            <w:szCs w:val="22"/>
          </w:rPr>
          <w:t>Technical Data Sheet - LithiumCure 1000</w:t>
        </w:r>
      </w:hyperlink>
    </w:p>
    <w:p w14:paraId="1A5AAB3C" w14:textId="4776000F" w:rsidR="00CB7391" w:rsidRDefault="00000000" w:rsidP="00DC7A9C">
      <w:pPr>
        <w:spacing w:before="0" w:after="0" w:line="240" w:lineRule="auto"/>
        <w:rPr>
          <w:color w:val="0070C0"/>
          <w:sz w:val="22"/>
          <w:szCs w:val="22"/>
        </w:rPr>
      </w:pPr>
      <w:hyperlink r:id="rId8" w:tgtFrame="_blank" w:history="1">
        <w:r w:rsidR="00DC7A9C" w:rsidRPr="00CB7391">
          <w:rPr>
            <w:rStyle w:val="Hyperlink"/>
            <w:color w:val="0070C0"/>
            <w:sz w:val="22"/>
            <w:szCs w:val="22"/>
          </w:rPr>
          <w:t>MSDS - LithiumCure 1000</w:t>
        </w:r>
      </w:hyperlink>
      <w:r w:rsidR="00CB7391" w:rsidRPr="00CB7391">
        <w:rPr>
          <w:color w:val="0070C0"/>
          <w:sz w:val="22"/>
          <w:szCs w:val="22"/>
        </w:rPr>
        <w:br/>
      </w:r>
      <w:hyperlink r:id="rId9" w:tgtFrame="_blank" w:history="1">
        <w:r w:rsidR="00CB7391" w:rsidRPr="00CB7391">
          <w:rPr>
            <w:rStyle w:val="Hyperlink"/>
            <w:color w:val="0070C0"/>
            <w:sz w:val="22"/>
            <w:szCs w:val="22"/>
          </w:rPr>
          <w:t>Product Spec - LithiumCure 1000</w:t>
        </w:r>
      </w:hyperlink>
      <w:r w:rsidR="00CB7391" w:rsidRPr="00CB7391">
        <w:rPr>
          <w:color w:val="0070C0"/>
          <w:sz w:val="22"/>
          <w:szCs w:val="22"/>
        </w:rPr>
        <w:br/>
      </w:r>
      <w:hyperlink r:id="rId10" w:tgtFrame="_blank" w:history="1">
        <w:r w:rsidR="00CB7391" w:rsidRPr="00CB7391">
          <w:rPr>
            <w:rStyle w:val="Hyperlink"/>
            <w:color w:val="0070C0"/>
            <w:sz w:val="22"/>
            <w:szCs w:val="22"/>
          </w:rPr>
          <w:t>Environmental &amp; Human Health - LithiumCure 1000</w:t>
        </w:r>
      </w:hyperlink>
      <w:r w:rsidR="00CB7391" w:rsidRPr="00CB7391">
        <w:rPr>
          <w:color w:val="0070C0"/>
          <w:sz w:val="22"/>
          <w:szCs w:val="22"/>
        </w:rPr>
        <w:br/>
      </w:r>
      <w:hyperlink r:id="rId11" w:tgtFrame="_blank" w:history="1">
        <w:r w:rsidR="00CB7391" w:rsidRPr="00CB7391">
          <w:rPr>
            <w:rStyle w:val="Hyperlink"/>
            <w:color w:val="0070C0"/>
            <w:sz w:val="22"/>
            <w:szCs w:val="22"/>
          </w:rPr>
          <w:t>NSF/ANSI/CAN 61 - LithiumCure 1000</w:t>
        </w:r>
      </w:hyperlink>
    </w:p>
    <w:p w14:paraId="016CEB46" w14:textId="77777777" w:rsidR="00DC7A9C" w:rsidRPr="00CB7391" w:rsidRDefault="00DC7A9C" w:rsidP="00DC7A9C">
      <w:pPr>
        <w:spacing w:before="0" w:after="0" w:line="240" w:lineRule="auto"/>
        <w:rPr>
          <w:color w:val="0070C0"/>
          <w:sz w:val="22"/>
          <w:szCs w:val="22"/>
        </w:rPr>
      </w:pPr>
    </w:p>
    <w:p w14:paraId="2367D30C" w14:textId="77777777" w:rsidR="00CB7391" w:rsidRPr="00CB7391" w:rsidRDefault="00CB7391" w:rsidP="00CB7391">
      <w:pPr>
        <w:rPr>
          <w:sz w:val="22"/>
          <w:szCs w:val="22"/>
        </w:rPr>
      </w:pPr>
      <w:r w:rsidRPr="00CB7391">
        <w:rPr>
          <w:sz w:val="22"/>
          <w:szCs w:val="22"/>
        </w:rPr>
        <w:t>Please let me know what questions I can answer for you, if any.</w:t>
      </w:r>
    </w:p>
    <w:p w14:paraId="4D49C845" w14:textId="77777777" w:rsidR="00785151" w:rsidRPr="00785151" w:rsidRDefault="00785151" w:rsidP="00785151">
      <w:pPr>
        <w:rPr>
          <w:b/>
          <w:bCs/>
          <w:color w:val="435570"/>
          <w:sz w:val="22"/>
          <w:szCs w:val="22"/>
        </w:rPr>
      </w:pPr>
    </w:p>
    <w:sectPr w:rsidR="00785151" w:rsidRPr="0078515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CEEA8" w14:textId="77777777" w:rsidR="0081671D" w:rsidRDefault="0081671D" w:rsidP="00054A66">
      <w:pPr>
        <w:spacing w:before="0" w:after="0" w:line="240" w:lineRule="auto"/>
      </w:pPr>
      <w:r>
        <w:separator/>
      </w:r>
    </w:p>
  </w:endnote>
  <w:endnote w:type="continuationSeparator" w:id="0">
    <w:p w14:paraId="3F3E85D7" w14:textId="77777777" w:rsidR="0081671D" w:rsidRDefault="0081671D" w:rsidP="00054A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0B845" w14:textId="77777777" w:rsidR="0081671D" w:rsidRDefault="0081671D" w:rsidP="00054A66">
      <w:pPr>
        <w:spacing w:before="0" w:after="0" w:line="240" w:lineRule="auto"/>
      </w:pPr>
      <w:r>
        <w:separator/>
      </w:r>
    </w:p>
  </w:footnote>
  <w:footnote w:type="continuationSeparator" w:id="0">
    <w:p w14:paraId="69C45EBF" w14:textId="77777777" w:rsidR="0081671D" w:rsidRDefault="0081671D" w:rsidP="00054A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B481A" w14:textId="0779CEB6" w:rsidR="00DD6442" w:rsidRDefault="000302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CF23BC" wp14:editId="1EA8025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6210" cy="885825"/>
          <wp:effectExtent l="0" t="0" r="0" b="9525"/>
          <wp:wrapSquare wrapText="bothSides"/>
          <wp:docPr id="10290322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032218" name="Picture 10290322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1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85"/>
    <w:rsid w:val="00014BB0"/>
    <w:rsid w:val="00022AB2"/>
    <w:rsid w:val="0003029A"/>
    <w:rsid w:val="00044B1A"/>
    <w:rsid w:val="00054A66"/>
    <w:rsid w:val="001103D4"/>
    <w:rsid w:val="00181A84"/>
    <w:rsid w:val="002041D4"/>
    <w:rsid w:val="002324CA"/>
    <w:rsid w:val="00245ADB"/>
    <w:rsid w:val="002C76C2"/>
    <w:rsid w:val="002D64B6"/>
    <w:rsid w:val="002E1542"/>
    <w:rsid w:val="0030659C"/>
    <w:rsid w:val="003155F0"/>
    <w:rsid w:val="004A692B"/>
    <w:rsid w:val="005B5E95"/>
    <w:rsid w:val="005D0AE1"/>
    <w:rsid w:val="00645357"/>
    <w:rsid w:val="006F7194"/>
    <w:rsid w:val="00735408"/>
    <w:rsid w:val="00766394"/>
    <w:rsid w:val="00785151"/>
    <w:rsid w:val="007D168A"/>
    <w:rsid w:val="0081671D"/>
    <w:rsid w:val="00885415"/>
    <w:rsid w:val="008955B7"/>
    <w:rsid w:val="00982DD1"/>
    <w:rsid w:val="00990487"/>
    <w:rsid w:val="00A43637"/>
    <w:rsid w:val="00A553A6"/>
    <w:rsid w:val="00AA3975"/>
    <w:rsid w:val="00B522F5"/>
    <w:rsid w:val="00BA1D5A"/>
    <w:rsid w:val="00BC760D"/>
    <w:rsid w:val="00C75987"/>
    <w:rsid w:val="00CB7391"/>
    <w:rsid w:val="00CF5BDD"/>
    <w:rsid w:val="00D73A4A"/>
    <w:rsid w:val="00D73D85"/>
    <w:rsid w:val="00DC1E76"/>
    <w:rsid w:val="00DC7A9C"/>
    <w:rsid w:val="00DD6442"/>
    <w:rsid w:val="00E4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61AE2"/>
  <w15:chartTrackingRefBased/>
  <w15:docId w15:val="{5CA46293-2EBE-443F-AEC3-7DDF1E1D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75"/>
  </w:style>
  <w:style w:type="paragraph" w:styleId="Heading1">
    <w:name w:val="heading 1"/>
    <w:basedOn w:val="Normal"/>
    <w:next w:val="Normal"/>
    <w:link w:val="Heading1Char"/>
    <w:uiPriority w:val="9"/>
    <w:qFormat/>
    <w:rsid w:val="00AA3975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975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975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975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975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975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975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97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97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975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975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975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975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975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975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975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97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975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A3975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975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97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A3975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A397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3975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73D85"/>
    <w:pPr>
      <w:ind w:left="720"/>
      <w:contextualSpacing/>
    </w:pPr>
  </w:style>
  <w:style w:type="character" w:styleId="IntenseEmphasis">
    <w:name w:val="Intense Emphasis"/>
    <w:uiPriority w:val="21"/>
    <w:qFormat/>
    <w:rsid w:val="00AA3975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975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975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AA3975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3975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AA3975"/>
    <w:rPr>
      <w:b/>
      <w:bCs/>
    </w:rPr>
  </w:style>
  <w:style w:type="character" w:styleId="Emphasis">
    <w:name w:val="Emphasis"/>
    <w:uiPriority w:val="20"/>
    <w:qFormat/>
    <w:rsid w:val="00AA3975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AA3975"/>
    <w:pPr>
      <w:spacing w:after="0" w:line="240" w:lineRule="auto"/>
    </w:pPr>
  </w:style>
  <w:style w:type="character" w:styleId="SubtleEmphasis">
    <w:name w:val="Subtle Emphasis"/>
    <w:uiPriority w:val="19"/>
    <w:qFormat/>
    <w:rsid w:val="00AA3975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AA3975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AA397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9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54A6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A66"/>
  </w:style>
  <w:style w:type="paragraph" w:styleId="Footer">
    <w:name w:val="footer"/>
    <w:basedOn w:val="Normal"/>
    <w:link w:val="FooterChar"/>
    <w:uiPriority w:val="99"/>
    <w:unhideWhenUsed/>
    <w:rsid w:val="00054A6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A66"/>
  </w:style>
  <w:style w:type="character" w:styleId="Hyperlink">
    <w:name w:val="Hyperlink"/>
    <w:basedOn w:val="DefaultParagraphFont"/>
    <w:uiPriority w:val="99"/>
    <w:unhideWhenUsed/>
    <w:rsid w:val="00C759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9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D168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ak.com/wp-content/uploads/2022/02/SINAK-LithiumCure-1000-SDS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nak.com/wp-content/uploads/2022/08/LITHIUM-CURE-1000-tech-data-web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fo.nsf.org/Certified/PwsComponents/Listings.asp?Company=C0606897&amp;Standard=06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inak.ecomedes.com/products/sinak/WALC10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nak.com/wp-content/uploads/2022/09/SINAK-LithiumCure-1000-Product-Specification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Asire</dc:creator>
  <cp:keywords/>
  <dc:description/>
  <cp:lastModifiedBy>Mike Asire</cp:lastModifiedBy>
  <cp:revision>9</cp:revision>
  <dcterms:created xsi:type="dcterms:W3CDTF">2024-04-30T16:34:00Z</dcterms:created>
  <dcterms:modified xsi:type="dcterms:W3CDTF">2024-07-24T17:10:00Z</dcterms:modified>
</cp:coreProperties>
</file>