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4FBDB" w14:textId="21D08791" w:rsidR="1BBBBFE5" w:rsidRDefault="1BBBBFE5" w:rsidP="1BBBBFE5">
      <w:pPr>
        <w:jc w:val="center"/>
        <w:rPr>
          <w:rFonts w:ascii="Arial" w:eastAsia="Arial" w:hAnsi="Arial" w:cs="Arial"/>
          <w:b/>
          <w:bCs/>
          <w:sz w:val="28"/>
          <w:szCs w:val="28"/>
        </w:rPr>
      </w:pPr>
      <w:r w:rsidRPr="1BBBBFE5">
        <w:rPr>
          <w:rFonts w:ascii="Arial" w:eastAsia="Arial" w:hAnsi="Arial" w:cs="Arial"/>
          <w:b/>
          <w:bCs/>
          <w:sz w:val="28"/>
          <w:szCs w:val="28"/>
        </w:rPr>
        <w:t>SINAK VC-5 Product Specification</w:t>
      </w:r>
    </w:p>
    <w:p w14:paraId="55C4B87B" w14:textId="0C638260" w:rsidR="00D92650" w:rsidRDefault="00222F35" w:rsidP="1BBBBFE5">
      <w:pPr>
        <w:jc w:val="center"/>
        <w:rPr>
          <w:rFonts w:ascii="Arial" w:eastAsia="Arial" w:hAnsi="Arial" w:cs="Arial"/>
          <w:b/>
          <w:bCs/>
          <w:sz w:val="28"/>
          <w:szCs w:val="28"/>
        </w:rPr>
      </w:pPr>
      <w:r w:rsidRPr="1BBBBFE5">
        <w:rPr>
          <w:rFonts w:ascii="Arial" w:eastAsia="Arial" w:hAnsi="Arial" w:cs="Arial"/>
          <w:b/>
          <w:bCs/>
          <w:sz w:val="28"/>
          <w:szCs w:val="28"/>
        </w:rPr>
        <w:t>Curing and Sealing Agent, Moisture Emission Reducing</w:t>
      </w:r>
    </w:p>
    <w:p w14:paraId="2BB6BD4F" w14:textId="3D93F7C6" w:rsidR="000D697E" w:rsidRDefault="000D697E" w:rsidP="1BBBBFE5">
      <w:pPr>
        <w:rPr>
          <w:rFonts w:ascii="Arial" w:eastAsia="Arial" w:hAnsi="Arial" w:cs="Arial"/>
          <w:b/>
          <w:bCs/>
        </w:rPr>
      </w:pPr>
      <w:r w:rsidRPr="1BBBBFE5">
        <w:rPr>
          <w:rFonts w:ascii="Arial" w:eastAsia="Arial" w:hAnsi="Arial" w:cs="Arial"/>
          <w:b/>
          <w:bCs/>
        </w:rPr>
        <w:t>NOTE: This is an addition to the 033000 specification and should be inserted or added to the water cure section. Typical water cure sub sections will include potable water, curing blanket or fiber, poly sheeting</w:t>
      </w:r>
      <w:r w:rsidR="007900FD" w:rsidRPr="1BBBBFE5">
        <w:rPr>
          <w:rFonts w:ascii="Arial" w:eastAsia="Arial" w:hAnsi="Arial" w:cs="Arial"/>
          <w:b/>
          <w:bCs/>
        </w:rPr>
        <w:t xml:space="preserve">, and or curing agents, water cure equivalent type. This is </w:t>
      </w:r>
      <w:r w:rsidR="008675A0" w:rsidRPr="1BBBBFE5">
        <w:rPr>
          <w:rFonts w:ascii="Arial" w:eastAsia="Arial" w:hAnsi="Arial" w:cs="Arial"/>
          <w:b/>
          <w:bCs/>
        </w:rPr>
        <w:t xml:space="preserve">to be included in the water cure </w:t>
      </w:r>
      <w:r w:rsidR="006F2056" w:rsidRPr="1BBBBFE5">
        <w:rPr>
          <w:rFonts w:ascii="Arial" w:eastAsia="Arial" w:hAnsi="Arial" w:cs="Arial"/>
          <w:b/>
          <w:bCs/>
        </w:rPr>
        <w:t>section</w:t>
      </w:r>
      <w:r w:rsidR="008675A0" w:rsidRPr="1BBBBFE5">
        <w:rPr>
          <w:rFonts w:ascii="Arial" w:eastAsia="Arial" w:hAnsi="Arial" w:cs="Arial"/>
          <w:b/>
          <w:bCs/>
        </w:rPr>
        <w:t xml:space="preserve"> and cross referenced to include or exclude all other moisture emission control systems in divisions 3, 7 or </w:t>
      </w:r>
      <w:r w:rsidR="006F2056" w:rsidRPr="1BBBBFE5">
        <w:rPr>
          <w:rFonts w:ascii="Arial" w:eastAsia="Arial" w:hAnsi="Arial" w:cs="Arial"/>
          <w:b/>
          <w:bCs/>
        </w:rPr>
        <w:t xml:space="preserve">9. </w:t>
      </w:r>
      <w:r w:rsidRPr="1BBBBFE5">
        <w:rPr>
          <w:rFonts w:ascii="Arial" w:eastAsia="Arial" w:hAnsi="Arial" w:cs="Arial"/>
          <w:b/>
          <w:bCs/>
        </w:rPr>
        <w:t xml:space="preserve"> and the sub section addition listed below. This should not be listed as an equivalent to ASTM C1315 or ASTM C309 as they are lessor, 3-day cure membranes and not equal to the performance of water cure. </w:t>
      </w:r>
    </w:p>
    <w:p w14:paraId="63F5510C" w14:textId="55332508" w:rsidR="00222F35" w:rsidRDefault="00222F35" w:rsidP="1BBBBFE5">
      <w:pPr>
        <w:rPr>
          <w:rFonts w:ascii="Arial" w:eastAsia="Arial" w:hAnsi="Arial" w:cs="Arial"/>
        </w:rPr>
      </w:pPr>
    </w:p>
    <w:p w14:paraId="24FF81A5" w14:textId="77777777" w:rsidR="00732F95" w:rsidRDefault="00732F95" w:rsidP="1BBBBFE5">
      <w:pPr>
        <w:pStyle w:val="PR1"/>
        <w:rPr>
          <w:rFonts w:ascii="Arial" w:eastAsia="Arial" w:hAnsi="Arial" w:cs="Arial"/>
        </w:rPr>
      </w:pPr>
      <w:r w:rsidRPr="1BBBBFE5">
        <w:rPr>
          <w:rFonts w:ascii="Arial" w:eastAsia="Arial" w:hAnsi="Arial" w:cs="Arial"/>
        </w:rPr>
        <w:t>Manufacturer's Warranty for Curing and Sealing Agent, Moisture Emission Reducing, Penetrating Product: Manufacturer agrees to furnish labor and material to replace flooring and coatings that fail due to moisture, moisture vapor, hydrostatic pressure, and alkalinity emanating from the concrete after application of product. This warranty to stay in effect should the surface be damaged during construction or should mechanical preparation be done prior to installation of flooring or coatings. Warranty to be non-prorated and fully transferable. Warranty to include bond of adhesives when applied in strict accordance with manufacturer's written instructions and prior to the expiration date.</w:t>
      </w:r>
    </w:p>
    <w:p w14:paraId="791D4FBC" w14:textId="77777777" w:rsidR="00732F95" w:rsidRDefault="00732F95" w:rsidP="1BBBBFE5">
      <w:pPr>
        <w:pStyle w:val="PR2"/>
        <w:spacing w:before="240"/>
        <w:rPr>
          <w:rFonts w:ascii="Arial" w:eastAsia="Arial" w:hAnsi="Arial" w:cs="Arial"/>
        </w:rPr>
      </w:pPr>
      <w:r w:rsidRPr="1BBBBFE5">
        <w:rPr>
          <w:rFonts w:ascii="Arial" w:eastAsia="Arial" w:hAnsi="Arial" w:cs="Arial"/>
        </w:rPr>
        <w:t>Warranty Period: Effectual date to be date of installation. Term to be 20 years from date of Substantial Completion.</w:t>
      </w:r>
    </w:p>
    <w:p w14:paraId="222F5986" w14:textId="65240C79" w:rsidR="00C9666A" w:rsidRPr="00C9666A" w:rsidRDefault="00C9666A" w:rsidP="1BBBBFE5">
      <w:pPr>
        <w:numPr>
          <w:ilvl w:val="4"/>
          <w:numId w:val="1"/>
        </w:numPr>
        <w:suppressAutoHyphens/>
        <w:spacing w:before="240" w:after="0" w:line="240" w:lineRule="auto"/>
        <w:jc w:val="both"/>
        <w:outlineLvl w:val="2"/>
        <w:rPr>
          <w:rFonts w:ascii="Arial" w:eastAsia="Arial" w:hAnsi="Arial" w:cs="Arial"/>
        </w:rPr>
      </w:pPr>
      <w:r w:rsidRPr="1BBBBFE5">
        <w:rPr>
          <w:rFonts w:ascii="Arial" w:eastAsia="Arial" w:hAnsi="Arial" w:cs="Arial"/>
        </w:rPr>
        <w:t>Curing and Sealing Agent, Moisture Emission Reducing, Penetrating: Clear, water-based, non-film-forming curing agent certified by manufacturer to reduce moisture and alkalinity to prevent adhesive failure and to not interfere with bonding of floor coverings.</w:t>
      </w:r>
    </w:p>
    <w:p w14:paraId="0D8A1FEE" w14:textId="77777777" w:rsidR="00C9666A" w:rsidRPr="00C9666A" w:rsidRDefault="00C9666A" w:rsidP="1BBBBFE5">
      <w:pPr>
        <w:suppressAutoHyphens/>
        <w:spacing w:before="240" w:after="0" w:line="240" w:lineRule="auto"/>
        <w:jc w:val="both"/>
        <w:rPr>
          <w:rFonts w:ascii="Arial" w:eastAsia="Arial" w:hAnsi="Arial" w:cs="Arial"/>
          <w:vanish/>
          <w:color w:val="0000FF"/>
        </w:rPr>
      </w:pPr>
      <w:r w:rsidRPr="1BBBBFE5">
        <w:rPr>
          <w:rFonts w:ascii="Arial" w:eastAsia="Arial" w:hAnsi="Arial" w:cs="Arial"/>
          <w:vanish/>
          <w:color w:val="0000FF"/>
        </w:rPr>
        <w:t>Retain "Basis-of-Design Product" Subparagraph and list of manufacturers below to require a specific product or a comparable product from manufacturers listed.</w:t>
      </w:r>
    </w:p>
    <w:p w14:paraId="06F7B46C" w14:textId="77777777" w:rsidR="00C9666A" w:rsidRPr="00C9666A" w:rsidRDefault="00C9666A" w:rsidP="1BBBBFE5">
      <w:pPr>
        <w:numPr>
          <w:ilvl w:val="5"/>
          <w:numId w:val="1"/>
        </w:numPr>
        <w:suppressAutoHyphens/>
        <w:spacing w:before="240" w:after="0" w:line="240" w:lineRule="auto"/>
        <w:jc w:val="both"/>
        <w:outlineLvl w:val="3"/>
        <w:rPr>
          <w:rFonts w:ascii="Arial" w:eastAsia="Arial" w:hAnsi="Arial" w:cs="Arial"/>
        </w:rPr>
      </w:pPr>
      <w:r w:rsidRPr="1BBBBFE5">
        <w:rPr>
          <w:rFonts w:ascii="Arial" w:eastAsia="Arial" w:hAnsi="Arial" w:cs="Arial"/>
        </w:rPr>
        <w:t>Basis-of-Design Product: Subject to compliance with requirements, provide SINAK; VC-5 or comparable product by one of the following:</w:t>
      </w:r>
    </w:p>
    <w:p w14:paraId="67D1473C" w14:textId="77777777" w:rsidR="00C9666A" w:rsidRPr="00C9666A" w:rsidRDefault="00C9666A" w:rsidP="1BBBBFE5">
      <w:pPr>
        <w:tabs>
          <w:tab w:val="left" w:pos="2016"/>
        </w:tabs>
        <w:suppressAutoHyphens/>
        <w:spacing w:before="240" w:after="0" w:line="240" w:lineRule="auto"/>
        <w:ind w:left="2016" w:hanging="576"/>
        <w:jc w:val="both"/>
        <w:outlineLvl w:val="4"/>
        <w:rPr>
          <w:rFonts w:ascii="Arial" w:eastAsia="Arial" w:hAnsi="Arial" w:cs="Arial"/>
        </w:rPr>
      </w:pPr>
      <w:r w:rsidRPr="1BBBBFE5">
        <w:rPr>
          <w:rFonts w:ascii="Arial" w:eastAsia="Arial" w:hAnsi="Arial" w:cs="Arial"/>
        </w:rPr>
        <w:t>&lt;</w:t>
      </w:r>
      <w:r w:rsidRPr="1BBBBFE5">
        <w:rPr>
          <w:rFonts w:ascii="Arial" w:eastAsia="Arial" w:hAnsi="Arial" w:cs="Arial"/>
          <w:b/>
          <w:bCs/>
        </w:rPr>
        <w:t>Insert manufacturer's name</w:t>
      </w:r>
      <w:r w:rsidRPr="1BBBBFE5">
        <w:rPr>
          <w:rFonts w:ascii="Arial" w:eastAsia="Arial" w:hAnsi="Arial" w:cs="Arial"/>
        </w:rPr>
        <w:t>&gt;.</w:t>
      </w:r>
    </w:p>
    <w:p w14:paraId="62A6A4E2" w14:textId="77777777" w:rsidR="00C9666A" w:rsidRPr="00C9666A" w:rsidRDefault="00C9666A" w:rsidP="1BBBBFE5">
      <w:pPr>
        <w:numPr>
          <w:ilvl w:val="5"/>
          <w:numId w:val="1"/>
        </w:numPr>
        <w:suppressAutoHyphens/>
        <w:spacing w:before="240" w:after="0" w:line="240" w:lineRule="auto"/>
        <w:jc w:val="both"/>
        <w:outlineLvl w:val="3"/>
        <w:rPr>
          <w:rFonts w:ascii="Arial" w:eastAsia="Arial" w:hAnsi="Arial" w:cs="Arial"/>
        </w:rPr>
      </w:pPr>
      <w:r w:rsidRPr="1BBBBFE5">
        <w:rPr>
          <w:rFonts w:ascii="Arial" w:eastAsia="Arial" w:hAnsi="Arial" w:cs="Arial"/>
        </w:rPr>
        <w:t>Performance Requirements: Minimum testing results on untreated samples:</w:t>
      </w:r>
    </w:p>
    <w:p w14:paraId="2E105502" w14:textId="26EA7DAE" w:rsidR="00C9666A" w:rsidRDefault="00C9666A" w:rsidP="1BBBBFE5">
      <w:pPr>
        <w:numPr>
          <w:ilvl w:val="6"/>
          <w:numId w:val="2"/>
        </w:numPr>
        <w:suppressAutoHyphens/>
        <w:spacing w:before="240" w:after="0" w:line="240" w:lineRule="auto"/>
        <w:jc w:val="both"/>
        <w:outlineLvl w:val="4"/>
        <w:rPr>
          <w:rFonts w:ascii="Arial" w:eastAsia="Arial" w:hAnsi="Arial" w:cs="Arial"/>
        </w:rPr>
      </w:pPr>
      <w:r w:rsidRPr="1BBBBFE5">
        <w:rPr>
          <w:rFonts w:ascii="Arial" w:eastAsia="Arial" w:hAnsi="Arial" w:cs="Arial"/>
        </w:rPr>
        <w:t>Certified as equal to 28-day water cure by independent testing in accordance with ASTM C39/C39M and ASTM C1202.</w:t>
      </w:r>
    </w:p>
    <w:p w14:paraId="0CE4396E" w14:textId="7C1B1E50" w:rsidR="00691EE5" w:rsidRPr="00C9666A" w:rsidRDefault="00691EE5" w:rsidP="1BBBBFE5">
      <w:pPr>
        <w:numPr>
          <w:ilvl w:val="6"/>
          <w:numId w:val="2"/>
        </w:numPr>
        <w:suppressAutoHyphens/>
        <w:spacing w:before="240" w:after="0" w:line="240" w:lineRule="auto"/>
        <w:jc w:val="both"/>
        <w:outlineLvl w:val="4"/>
        <w:rPr>
          <w:rFonts w:ascii="Arial" w:eastAsia="Arial" w:hAnsi="Arial" w:cs="Arial"/>
        </w:rPr>
      </w:pPr>
      <w:r>
        <w:rPr>
          <w:rFonts w:ascii="Arial" w:eastAsia="Arial" w:hAnsi="Arial" w:cs="Arial"/>
        </w:rPr>
        <w:t>Water Vapor Transmission rate less than 1.0 g/m² per ASTM E-96.</w:t>
      </w:r>
    </w:p>
    <w:p w14:paraId="4399FE93" w14:textId="77777777" w:rsidR="00C9666A" w:rsidRPr="00C9666A" w:rsidRDefault="00C9666A" w:rsidP="1BBBBFE5">
      <w:pPr>
        <w:numPr>
          <w:ilvl w:val="5"/>
          <w:numId w:val="1"/>
        </w:numPr>
        <w:suppressAutoHyphens/>
        <w:spacing w:before="240" w:after="0" w:line="240" w:lineRule="auto"/>
        <w:jc w:val="both"/>
        <w:outlineLvl w:val="3"/>
        <w:rPr>
          <w:rFonts w:ascii="Arial" w:eastAsia="Arial" w:hAnsi="Arial" w:cs="Arial"/>
        </w:rPr>
      </w:pPr>
      <w:r w:rsidRPr="1BBBBFE5">
        <w:rPr>
          <w:rFonts w:ascii="Arial" w:eastAsia="Arial" w:hAnsi="Arial" w:cs="Arial"/>
        </w:rPr>
        <w:t>Product to be UL GREENGUARD Gold certified and contain zero (0) VOCs.</w:t>
      </w:r>
    </w:p>
    <w:p w14:paraId="05C826DF" w14:textId="77777777" w:rsidR="00C9666A" w:rsidRPr="00C9666A" w:rsidRDefault="00C9666A" w:rsidP="1BBBBFE5">
      <w:pPr>
        <w:numPr>
          <w:ilvl w:val="5"/>
          <w:numId w:val="1"/>
        </w:numPr>
        <w:suppressAutoHyphens/>
        <w:spacing w:after="0" w:line="240" w:lineRule="auto"/>
        <w:jc w:val="both"/>
        <w:rPr>
          <w:rFonts w:ascii="Arial" w:eastAsia="Arial" w:hAnsi="Arial" w:cs="Arial"/>
        </w:rPr>
      </w:pPr>
      <w:r w:rsidRPr="1BBBBFE5">
        <w:rPr>
          <w:rFonts w:ascii="Arial" w:eastAsia="Arial" w:hAnsi="Arial" w:cs="Arial"/>
        </w:rPr>
        <w:t>Product to include a 20-year non-prorated labor, material, and adhesive bond warranty.</w:t>
      </w:r>
    </w:p>
    <w:sectPr w:rsidR="00C9666A" w:rsidRPr="00C96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2047753323">
    <w:abstractNumId w:val="0"/>
  </w:num>
  <w:num w:numId="2" w16cid:durableId="85557990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35"/>
    <w:rsid w:val="000D697E"/>
    <w:rsid w:val="00222F35"/>
    <w:rsid w:val="00691EE5"/>
    <w:rsid w:val="006F2056"/>
    <w:rsid w:val="00732F95"/>
    <w:rsid w:val="007900FD"/>
    <w:rsid w:val="008675A0"/>
    <w:rsid w:val="009E431C"/>
    <w:rsid w:val="00AE00A1"/>
    <w:rsid w:val="00C9666A"/>
    <w:rsid w:val="00D92650"/>
    <w:rsid w:val="19F09422"/>
    <w:rsid w:val="1BBBBFE5"/>
    <w:rsid w:val="28783C7E"/>
    <w:rsid w:val="7A5C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8B86"/>
  <w15:chartTrackingRefBased/>
  <w15:docId w15:val="{A5CF9603-3EAA-46C1-8DBD-1B463611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qFormat/>
    <w:rsid w:val="00222F35"/>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222F35"/>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222F35"/>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qFormat/>
    <w:rsid w:val="00222F35"/>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qFormat/>
    <w:rsid w:val="00222F35"/>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link w:val="PR2Char"/>
    <w:qFormat/>
    <w:rsid w:val="00222F35"/>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link w:val="PR3Char"/>
    <w:qFormat/>
    <w:rsid w:val="00222F35"/>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qFormat/>
    <w:rsid w:val="00222F35"/>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qFormat/>
    <w:rsid w:val="00222F35"/>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222F35"/>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CMTChar">
    <w:name w:val="CMT Char"/>
    <w:link w:val="CMT"/>
    <w:rsid w:val="00222F35"/>
    <w:rPr>
      <w:rFonts w:ascii="Times New Roman" w:eastAsia="Times New Roman" w:hAnsi="Times New Roman" w:cs="Times New Roman"/>
      <w:vanish/>
      <w:color w:val="0000FF"/>
      <w:szCs w:val="20"/>
    </w:rPr>
  </w:style>
  <w:style w:type="character" w:customStyle="1" w:styleId="PR3Char">
    <w:name w:val="PR3 Char"/>
    <w:link w:val="PR3"/>
    <w:rsid w:val="00222F35"/>
    <w:rPr>
      <w:rFonts w:ascii="Times New Roman" w:eastAsia="Times New Roman" w:hAnsi="Times New Roman" w:cs="Times New Roman"/>
      <w:szCs w:val="20"/>
    </w:rPr>
  </w:style>
  <w:style w:type="character" w:customStyle="1" w:styleId="PR2Char">
    <w:name w:val="PR2 Char"/>
    <w:link w:val="PR2"/>
    <w:rsid w:val="00222F35"/>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30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1DF5A1367F5F40B264D82233A91BDF" ma:contentTypeVersion="11" ma:contentTypeDescription="Create a new document." ma:contentTypeScope="" ma:versionID="cc856dd7f8f1cff1cf5d3eeccc68e99a">
  <xsd:schema xmlns:xsd="http://www.w3.org/2001/XMLSchema" xmlns:xs="http://www.w3.org/2001/XMLSchema" xmlns:p="http://schemas.microsoft.com/office/2006/metadata/properties" xmlns:ns2="7c3be861-089c-49e7-921e-67a321a05d0e" xmlns:ns3="a3d59892-4e30-497c-bc91-a02ce2ef2ec1" targetNamespace="http://schemas.microsoft.com/office/2006/metadata/properties" ma:root="true" ma:fieldsID="2b711c57ed23ed88bbb5d0eef7bf8d5b" ns2:_="" ns3:_="">
    <xsd:import namespace="7c3be861-089c-49e7-921e-67a321a05d0e"/>
    <xsd:import namespace="a3d59892-4e30-497c-bc91-a02ce2ef2e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be861-089c-49e7-921e-67a321a0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d59892-4e30-497c-bc91-a02ce2ef2e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306CF-A664-41B1-9FCE-918CBE3420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376EE0-AAA2-4ADE-91FD-6772FDEDC213}">
  <ds:schemaRefs>
    <ds:schemaRef ds:uri="http://schemas.microsoft.com/sharepoint/v3/contenttype/forms"/>
  </ds:schemaRefs>
</ds:datastoreItem>
</file>

<file path=customXml/itemProps3.xml><?xml version="1.0" encoding="utf-8"?>
<ds:datastoreItem xmlns:ds="http://schemas.openxmlformats.org/officeDocument/2006/customXml" ds:itemID="{4D2DD9E6-9E1E-4855-A977-1BF487400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be861-089c-49e7-921e-67a321a05d0e"/>
    <ds:schemaRef ds:uri="a3d59892-4e30-497c-bc91-a02ce2ef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2164</Characters>
  <Application>Microsoft Office Word</Application>
  <DocSecurity>0</DocSecurity>
  <Lines>86</Lines>
  <Paragraphs>40</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Mosley</dc:creator>
  <cp:keywords/>
  <dc:description/>
  <cp:lastModifiedBy>Ian Higgins</cp:lastModifiedBy>
  <cp:revision>12</cp:revision>
  <dcterms:created xsi:type="dcterms:W3CDTF">2022-01-04T23:03:00Z</dcterms:created>
  <dcterms:modified xsi:type="dcterms:W3CDTF">2022-09-22T16:00:00Z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0x010100631DF5A1367F5F40B264D82233A91BDF</vt:lpwstr>
  </property>
</Properties>
</file>